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D0" w:rsidRDefault="007703D0" w:rsidP="00633089">
      <w:pPr>
        <w:ind w:right="426"/>
      </w:pPr>
    </w:p>
    <w:p w:rsidR="00041992" w:rsidRPr="00041992" w:rsidRDefault="00041992" w:rsidP="002243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1992" w:rsidRPr="00041992" w:rsidRDefault="00015238" w:rsidP="00C611EB">
      <w:pPr>
        <w:suppressAutoHyphens/>
        <w:spacing w:after="200" w:line="276" w:lineRule="auto"/>
        <w:jc w:val="center"/>
        <w:rPr>
          <w:rFonts w:eastAsia="Times New Roman" w:cs="Calibri"/>
          <w:szCs w:val="2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 prihlásenie obcí do </w:t>
      </w:r>
      <w:r w:rsidR="00C611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súťaže Dedina roka 2021 ostáva posledný mesiac</w:t>
      </w:r>
    </w:p>
    <w:p w:rsidR="00041992" w:rsidRDefault="00041992" w:rsidP="0004199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41992" w:rsidRPr="002243B1" w:rsidRDefault="00C611EB" w:rsidP="0004199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2243B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Banská Bystrica, 30. marec</w:t>
      </w:r>
      <w:r w:rsidR="003B13C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2021</w:t>
      </w:r>
    </w:p>
    <w:p w:rsidR="00C611EB" w:rsidRPr="002243B1" w:rsidRDefault="00015238" w:rsidP="0004199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243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Záujemcovia o prihlásenie do </w:t>
      </w:r>
      <w:r w:rsidR="002243B1" w:rsidRPr="002243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11. ročníka </w:t>
      </w:r>
      <w:r w:rsidRPr="002243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národnej súťaže Dedina roka 2021 majú posledný mesiac na registráciu svojej obce. Podn</w:t>
      </w:r>
      <w:r w:rsidR="00AA1A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et môže dať ktorýkoľvek občan Slovenskej republiky</w:t>
      </w:r>
      <w:r w:rsidR="00D226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(SR)</w:t>
      </w:r>
      <w:r w:rsidRPr="002243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samotný proces prihlásenia je už potom na starostke alebo starostovi. Na webovej stránke </w:t>
      </w:r>
      <w:hyperlink r:id="rId6" w:history="1">
        <w:r w:rsidRPr="003B13C8">
          <w:rPr>
            <w:rStyle w:val="Hypertextovprepojeni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zh-CN"/>
          </w:rPr>
          <w:t>www.dedinaroka.sk</w:t>
        </w:r>
      </w:hyperlink>
      <w:r w:rsidRPr="003B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243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sú dostupné podklady k </w:t>
      </w:r>
      <w:r w:rsidR="00AA1A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zapojeniu</w:t>
      </w:r>
      <w:r w:rsidRPr="002243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prihláška a formulár oblastí hodnotenia. Uzávierka prihlášok je 30. apríla</w:t>
      </w:r>
      <w:r w:rsidR="00AF3F73" w:rsidRPr="002243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2021</w:t>
      </w:r>
      <w:r w:rsidRPr="002243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D226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Okrem finančných a vecných výhier od </w:t>
      </w:r>
      <w:r w:rsidR="003B13C8" w:rsidRPr="003B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generálneho partnera, vyhlasovateľov a partnerov súťaže, súperia o</w:t>
      </w:r>
      <w:r w:rsidR="003B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bce aj o možnosť reprezentovať</w:t>
      </w:r>
      <w:r w:rsidR="00D226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SR na európskej úrovni.</w:t>
      </w:r>
    </w:p>
    <w:p w:rsidR="00B81917" w:rsidRDefault="00D04D37" w:rsidP="00B8191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Súťaž Dedina roka je pre obce priestorom na propagáciu, nadviazanie nových kontaktov, výmenu skúseností či inšpiráciu</w:t>
      </w:r>
      <w:r w:rsidR="00AF3F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ďalšieho rozvoja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Za 20 rokov existe</w:t>
      </w:r>
      <w:r w:rsidR="00B819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ncie súťaže túto možnosť</w:t>
      </w:r>
      <w:r w:rsidR="00E73C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prezentácie </w:t>
      </w:r>
      <w:r w:rsidR="00B819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využili desiatky slovenských obcí.</w:t>
      </w:r>
      <w:r w:rsidR="00E73C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Niek</w:t>
      </w:r>
      <w:r w:rsidR="00AA1A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toré to skúšali dokonca viac ráz</w:t>
      </w:r>
      <w:r w:rsidR="00E73C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AF3F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81917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„Na</w:t>
      </w:r>
      <w:r w:rsidR="00AA1A86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ša obec sa do súťaže zapojila dvakrát</w:t>
      </w:r>
      <w:r w:rsidR="00B81917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. Prvýkrát v roku 2007</w:t>
      </w:r>
      <w:r w:rsid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kedy</w:t>
      </w:r>
      <w:r w:rsidR="00B81917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sme síce nevyhrali, ale veľmi nás to naštartovalo. Videli sme, že máme ešte množstvo nevyužitého potenciálu a zač</w:t>
      </w:r>
      <w:r w:rsid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ali sme na tom pracovať</w:t>
      </w:r>
      <w:r w:rsidR="00B81917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. Druhýkrát sme sa prihlásili v roku 2015 a podarilo sa. Obec vted</w:t>
      </w:r>
      <w:r w:rsid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y viedol pán starosta </w:t>
      </w:r>
      <w:proofErr w:type="spellStart"/>
      <w:r w:rsid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Ledecký</w:t>
      </w:r>
      <w:proofErr w:type="spellEnd"/>
      <w:r w:rsid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. B</w:t>
      </w:r>
      <w:r w:rsidR="00B81917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ola som pritom</w:t>
      </w:r>
      <w:r w:rsidR="00AA1A86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,</w:t>
      </w:r>
      <w:r w:rsidR="00B81917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keď sme súťažili, pomáhala som s programom pri návšteve hodnotiacej komisie a bola to pre mňa vzácna skúsenosť. Teraz vediem obec ja a keby sme mohli, určite sa prihlásime znova.“</w:t>
      </w:r>
      <w:r w:rsidR="00B819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A1A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zdôrazňuje</w:t>
      </w:r>
      <w:r w:rsidR="00B819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Zuzana Kučerová, starostka obce Spišský Hrhov.</w:t>
      </w:r>
      <w:r w:rsidR="00AA1A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Podľa pravidiel súťaže sa víťazná obec môže prihlásiť opätovne až o desať rokov, no mnohé by to urobili bez zaváhania už dnes. Spojenie komunity, naštartovanie k zveľaďovacím aktivitám v obci </w:t>
      </w:r>
      <w:r w:rsidR="00272E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 možnosť prezentovať úspechy pred hodnotiacou komisiou bola výnimočná príležitosť, ktorá sa často neopakuje.</w:t>
      </w:r>
    </w:p>
    <w:p w:rsidR="000B3EAC" w:rsidRDefault="00B81917" w:rsidP="00B8191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Podobne účasť v súťaži hodnotí aj víťazná obec z roku </w:t>
      </w:r>
      <w:r w:rsidR="006463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2017, Oravská Polhora, pre ktorú bolo zapojenie veľkou výzvou.</w:t>
      </w:r>
      <w:r w:rsidR="00272E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463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Zodpovedné prípravy a zomknutie obyvateľov obce presvedčili hodnotiacu komisiu, že titul bude v správnych rukách. </w:t>
      </w:r>
      <w:r w:rsidR="006463A6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„Zapojenie sa do súťaže nastaví dedine zrkadlo – kde sa práve nachádza, čo je potrebné vylepšiť, akým smerom je potrebné viesť ďalší rozvoj. Titul nám určite pomohol</w:t>
      </w:r>
      <w:r w:rsidR="009726A8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aj v ďalšom napredovaní</w:t>
      </w:r>
      <w:r w:rsidR="006463A6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, predovšetkým pri predkladaní rôznych žiadostí o granty, kde veľmi často používame slovné spojenie „Dedina roka“. A v</w:t>
      </w:r>
      <w:r w:rsidR="0004140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 </w:t>
      </w:r>
      <w:r w:rsidR="006463A6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neposlednom</w:t>
      </w:r>
      <w:r w:rsidR="0004140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rade, ale o to viac dôležitom,</w:t>
      </w:r>
      <w:r w:rsidR="009726A8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,</w:t>
      </w:r>
      <w:r w:rsidR="006463A6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umožní účasť v súťaži stretnúť množstvo zaujímavých ľudí a nadviazať nové priateľstvá.</w:t>
      </w:r>
      <w:r w:rsidR="009726A8" w:rsidRPr="00AF3F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“ </w:t>
      </w:r>
      <w:r w:rsidR="00AF3F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h</w:t>
      </w:r>
      <w:r w:rsidR="009726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odnotí Michal </w:t>
      </w:r>
      <w:proofErr w:type="spellStart"/>
      <w:r w:rsidR="009726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Strnál</w:t>
      </w:r>
      <w:proofErr w:type="spellEnd"/>
      <w:r w:rsidR="009726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starosta obce. </w:t>
      </w:r>
      <w:r w:rsidR="00D226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Vysoký potenciál Oravská Polhora </w:t>
      </w:r>
    </w:p>
    <w:p w:rsidR="000B3EAC" w:rsidRDefault="000B3EAC" w:rsidP="00B8191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226AA" w:rsidRDefault="00D226AA" w:rsidP="00B8191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potvrdila aj pri reprezentácii Slovenska v súťaži o Európsku cenu obnovy dediny, kde patrila ku kandidátom na víťaza. </w:t>
      </w:r>
    </w:p>
    <w:p w:rsidR="00E73C92" w:rsidRPr="00041403" w:rsidRDefault="00440912" w:rsidP="00E73C9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Víťazom posledného ročníka súťaže Dedina roka</w:t>
      </w:r>
      <w:r w:rsidR="00D226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ktorú účasť v európskej súťaži ešte len čaká,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 obec Papradno. Jedinečnosť dediny v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objatí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Javorníckych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vrchov s n</w:t>
      </w:r>
      <w:r w:rsidR="003B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áročnými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životnými podmienkami, jej tradície a hrdosť </w:t>
      </w:r>
      <w:r w:rsidR="0004140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obyvateľov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 rodnú zem ocenila hodnotiaca komisia víťazstvom v roku 2019</w:t>
      </w:r>
      <w:r w:rsidRPr="002243B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.„Máme rozvinutú infraštruktúru, krásnu prírodu, </w:t>
      </w:r>
      <w:r w:rsidR="002243B1" w:rsidRPr="002243B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zaujímavú ponuku agroturistiky</w:t>
      </w:r>
      <w:r w:rsidRPr="002243B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srdečných ľudí, ktorí si vzájomne pomáhajú či unikátne tradície zachovávané a šírené našou folklórnou skupinou </w:t>
      </w:r>
      <w:proofErr w:type="spellStart"/>
      <w:r w:rsidRPr="002243B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Podžiaran</w:t>
      </w:r>
      <w:proofErr w:type="spellEnd"/>
      <w:r w:rsidRPr="002243B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. Keď sme odoslali prihlášku do súťaže, v kútiku duše sme dúfali, že by sme ju mohli vyhrať. Preto by som chcel povzbudiť ostatné obce a ich staro</w:t>
      </w:r>
      <w:r w:rsidR="003B13C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stov a starostky, aby sa </w:t>
      </w:r>
      <w:r w:rsidRPr="002243B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prihlásili do súťaže, aby ukázali, čo ukrýva ich obec a v čom môžu byť inšpiráciou pre ostatných.</w:t>
      </w:r>
      <w:r w:rsidR="002243B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“</w:t>
      </w:r>
      <w:r w:rsidR="00D226AA" w:rsidRPr="00D226AA">
        <w:rPr>
          <w:rFonts w:ascii="Times New Roman" w:hAnsi="Times New Roman" w:cs="Times New Roman"/>
        </w:rPr>
        <w:t xml:space="preserve"> </w:t>
      </w:r>
      <w:r w:rsidR="00D226AA" w:rsidRPr="00041403">
        <w:rPr>
          <w:rFonts w:ascii="Times New Roman" w:hAnsi="Times New Roman" w:cs="Times New Roman"/>
          <w:sz w:val="24"/>
          <w:szCs w:val="24"/>
        </w:rPr>
        <w:t xml:space="preserve">vyzýva </w:t>
      </w:r>
      <w:r w:rsidR="00FB447C">
        <w:rPr>
          <w:rFonts w:ascii="Times New Roman" w:hAnsi="Times New Roman" w:cs="Times New Roman"/>
          <w:sz w:val="24"/>
          <w:szCs w:val="24"/>
        </w:rPr>
        <w:t xml:space="preserve">na záver </w:t>
      </w:r>
      <w:r w:rsidR="00D226AA" w:rsidRPr="00041403">
        <w:rPr>
          <w:rFonts w:ascii="Times New Roman" w:hAnsi="Times New Roman" w:cs="Times New Roman"/>
          <w:sz w:val="24"/>
          <w:szCs w:val="24"/>
        </w:rPr>
        <w:t xml:space="preserve">váhajúce obce </w:t>
      </w:r>
      <w:r w:rsidR="00D226AA" w:rsidRPr="0004140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Roman </w:t>
      </w:r>
      <w:proofErr w:type="spellStart"/>
      <w:r w:rsidR="00D226AA" w:rsidRPr="0004140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Španihel</w:t>
      </w:r>
      <w:proofErr w:type="spellEnd"/>
      <w:r w:rsidR="00D226AA" w:rsidRPr="00D226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starosta obce Papradno</w:t>
      </w:r>
      <w:r w:rsidR="00D226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04140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 finančnej odmeny, ktorú víťazstvom v</w:t>
      </w:r>
      <w:r w:rsidR="0004140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súťaži</w:t>
      </w:r>
      <w:r w:rsidR="0004140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obec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4140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získala,</w:t>
      </w:r>
      <w:r w:rsidR="00E73C92" w:rsidRPr="00E73C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vybudovali </w:t>
      </w:r>
      <w:r w:rsidR="00E73C92" w:rsidRPr="00E73C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malé detské ihrisko a komunitné centrum pri obecných bytovkách.</w:t>
      </w:r>
    </w:p>
    <w:p w:rsidR="00440912" w:rsidRDefault="00E73C92" w:rsidP="00E73C9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3C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9726A8" w:rsidRDefault="009726A8" w:rsidP="009726A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726A8" w:rsidRDefault="009726A8" w:rsidP="009726A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73A54" w:rsidRDefault="00D73A54" w:rsidP="009726A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D73A54" w:rsidRDefault="00D73A54" w:rsidP="009726A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D73A54" w:rsidRDefault="00D73A54" w:rsidP="009726A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bookmarkStart w:id="0" w:name="_GoBack"/>
      <w:bookmarkEnd w:id="0"/>
    </w:p>
    <w:p w:rsidR="00D73A54" w:rsidRDefault="00D73A54" w:rsidP="009726A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D73A54" w:rsidRDefault="00D73A54" w:rsidP="009726A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D73A54" w:rsidRPr="00D73A54" w:rsidRDefault="00D73A54" w:rsidP="009726A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9726A8" w:rsidRPr="00D73A54" w:rsidRDefault="00D73A54" w:rsidP="009726A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D73A5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Vyhlasovateľom súťaže je Ministerstvo životného prostredia, Slovenská agentúra životného prostredia, Spolok pre obnovu dediny a Združenie miest a obcí Slovenska. Generálnym partnerom je COOP Jednota Slovensko, s. d.. Záštitu nad aktuálnym ročníkom prebral minister životného prostredia SR Ján </w:t>
      </w:r>
      <w:proofErr w:type="spellStart"/>
      <w:r w:rsidRPr="00D73A5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Budaj</w:t>
      </w:r>
      <w:proofErr w:type="spellEnd"/>
      <w:r w:rsidRPr="00D73A5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.</w:t>
      </w:r>
    </w:p>
    <w:p w:rsidR="00C611EB" w:rsidRDefault="00C611EB" w:rsidP="00041992">
      <w:pPr>
        <w:suppressAutoHyphens/>
        <w:spacing w:after="200" w:line="276" w:lineRule="auto"/>
        <w:jc w:val="both"/>
        <w:rPr>
          <w:rFonts w:eastAsia="Times New Roman" w:cs="Calibri"/>
          <w:szCs w:val="22"/>
          <w:lang w:eastAsia="zh-CN"/>
        </w:rPr>
      </w:pPr>
    </w:p>
    <w:p w:rsidR="00C611EB" w:rsidRDefault="00C611EB" w:rsidP="00041992">
      <w:pPr>
        <w:suppressAutoHyphens/>
        <w:spacing w:after="200" w:line="276" w:lineRule="auto"/>
        <w:jc w:val="both"/>
        <w:rPr>
          <w:rFonts w:eastAsia="Times New Roman" w:cs="Calibri"/>
          <w:szCs w:val="22"/>
          <w:lang w:eastAsia="zh-CN"/>
        </w:rPr>
      </w:pPr>
    </w:p>
    <w:p w:rsidR="00C611EB" w:rsidRDefault="00C611EB" w:rsidP="00041992">
      <w:pPr>
        <w:suppressAutoHyphens/>
        <w:spacing w:after="200" w:line="276" w:lineRule="auto"/>
        <w:jc w:val="both"/>
        <w:rPr>
          <w:rFonts w:eastAsia="Times New Roman" w:cs="Calibri"/>
          <w:szCs w:val="22"/>
          <w:lang w:eastAsia="zh-CN"/>
        </w:rPr>
      </w:pPr>
    </w:p>
    <w:p w:rsidR="00C611EB" w:rsidRDefault="00C611EB" w:rsidP="00041992">
      <w:pPr>
        <w:suppressAutoHyphens/>
        <w:spacing w:after="200" w:line="276" w:lineRule="auto"/>
        <w:jc w:val="both"/>
        <w:rPr>
          <w:rFonts w:eastAsia="Times New Roman" w:cs="Calibri"/>
          <w:szCs w:val="22"/>
          <w:lang w:eastAsia="zh-CN"/>
        </w:rPr>
      </w:pPr>
    </w:p>
    <w:p w:rsidR="00C611EB" w:rsidRDefault="00C611EB" w:rsidP="00041992">
      <w:pPr>
        <w:suppressAutoHyphens/>
        <w:spacing w:after="200" w:line="276" w:lineRule="auto"/>
        <w:jc w:val="both"/>
        <w:rPr>
          <w:rFonts w:eastAsia="Times New Roman" w:cs="Calibri"/>
          <w:szCs w:val="22"/>
          <w:lang w:eastAsia="zh-CN"/>
        </w:rPr>
      </w:pPr>
    </w:p>
    <w:p w:rsidR="00C611EB" w:rsidRDefault="00C611EB" w:rsidP="00041992">
      <w:pPr>
        <w:suppressAutoHyphens/>
        <w:spacing w:after="200" w:line="276" w:lineRule="auto"/>
        <w:jc w:val="both"/>
        <w:rPr>
          <w:rFonts w:eastAsia="Times New Roman" w:cs="Calibri"/>
          <w:szCs w:val="22"/>
          <w:lang w:eastAsia="zh-CN"/>
        </w:rPr>
      </w:pPr>
    </w:p>
    <w:p w:rsidR="00C611EB" w:rsidRDefault="00C611EB" w:rsidP="00041992">
      <w:pPr>
        <w:suppressAutoHyphens/>
        <w:spacing w:after="200" w:line="276" w:lineRule="auto"/>
        <w:jc w:val="both"/>
        <w:rPr>
          <w:rFonts w:eastAsia="Times New Roman" w:cs="Calibri"/>
          <w:szCs w:val="22"/>
          <w:lang w:eastAsia="zh-CN"/>
        </w:rPr>
      </w:pPr>
    </w:p>
    <w:p w:rsidR="00C611EB" w:rsidRDefault="00C611EB" w:rsidP="00041992">
      <w:pPr>
        <w:suppressAutoHyphens/>
        <w:spacing w:after="200" w:line="276" w:lineRule="auto"/>
        <w:jc w:val="both"/>
        <w:rPr>
          <w:rFonts w:eastAsia="Times New Roman" w:cs="Calibri"/>
          <w:szCs w:val="22"/>
          <w:lang w:eastAsia="zh-CN"/>
        </w:rPr>
      </w:pPr>
    </w:p>
    <w:p w:rsidR="001900D8" w:rsidRDefault="001900D8" w:rsidP="00633089">
      <w:pPr>
        <w:ind w:right="426"/>
      </w:pPr>
    </w:p>
    <w:p w:rsidR="001900D8" w:rsidRDefault="001900D8" w:rsidP="00633089">
      <w:pPr>
        <w:ind w:right="426"/>
      </w:pPr>
    </w:p>
    <w:p w:rsidR="001900D8" w:rsidRDefault="001900D8" w:rsidP="00633089">
      <w:pPr>
        <w:ind w:right="426"/>
      </w:pPr>
    </w:p>
    <w:sectPr w:rsidR="001900D8" w:rsidSect="009864DF">
      <w:headerReference w:type="default" r:id="rId7"/>
      <w:footerReference w:type="default" r:id="rId8"/>
      <w:pgSz w:w="11906" w:h="16838"/>
      <w:pgMar w:top="2694" w:right="991" w:bottom="2269" w:left="1417" w:header="708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98" w:rsidRDefault="006C7C98" w:rsidP="0040504C">
      <w:pPr>
        <w:spacing w:after="0" w:line="240" w:lineRule="auto"/>
      </w:pPr>
      <w:r>
        <w:separator/>
      </w:r>
    </w:p>
  </w:endnote>
  <w:endnote w:type="continuationSeparator" w:id="0">
    <w:p w:rsidR="006C7C98" w:rsidRDefault="006C7C98" w:rsidP="0040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4" w:rsidRDefault="00F5792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100965</wp:posOffset>
          </wp:positionV>
          <wp:extent cx="6031230" cy="1033388"/>
          <wp:effectExtent l="0" t="0" r="762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3338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98" w:rsidRDefault="006C7C98" w:rsidP="0040504C">
      <w:pPr>
        <w:spacing w:after="0" w:line="240" w:lineRule="auto"/>
      </w:pPr>
      <w:r>
        <w:separator/>
      </w:r>
    </w:p>
  </w:footnote>
  <w:footnote w:type="continuationSeparator" w:id="0">
    <w:p w:rsidR="006C7C98" w:rsidRDefault="006C7C98" w:rsidP="0040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4C" w:rsidRDefault="0040504C" w:rsidP="0040504C">
    <w:pPr>
      <w:pStyle w:val="Hlavika"/>
      <w:ind w:left="1843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-106680</wp:posOffset>
          </wp:positionV>
          <wp:extent cx="1139755" cy="952500"/>
          <wp:effectExtent l="0" t="0" r="381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A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5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504C" w:rsidRDefault="0040504C" w:rsidP="0040504C">
    <w:pPr>
      <w:pStyle w:val="Hlavika"/>
      <w:ind w:left="1843"/>
    </w:pPr>
  </w:p>
  <w:p w:rsidR="0040504C" w:rsidRDefault="0040504C" w:rsidP="0040504C">
    <w:pPr>
      <w:pStyle w:val="Hlavika"/>
      <w:ind w:left="1985"/>
    </w:pPr>
    <w:r w:rsidRPr="0040504C">
      <w:t>Slovenská agentúra životného prostredia • Sekcia environmentalistiky</w:t>
    </w:r>
    <w:r w:rsidRPr="0040504C">
      <w:cr/>
      <w:t xml:space="preserve">Tajovského 28, 975 90 Banská Bystrica </w:t>
    </w:r>
    <w:r>
      <w:t xml:space="preserve">• tel. +421 48 43 74 162, 176 </w:t>
    </w:r>
    <w:r>
      <w:br/>
    </w:r>
    <w:r w:rsidRPr="0040504C">
      <w:t xml:space="preserve">sdrinfo@sazp.sk • www.dedinaroka.sk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4C"/>
    <w:rsid w:val="00015238"/>
    <w:rsid w:val="00041403"/>
    <w:rsid w:val="00041992"/>
    <w:rsid w:val="000B3EAC"/>
    <w:rsid w:val="00155CA1"/>
    <w:rsid w:val="001900D8"/>
    <w:rsid w:val="001942F9"/>
    <w:rsid w:val="002140E3"/>
    <w:rsid w:val="00214119"/>
    <w:rsid w:val="002243B1"/>
    <w:rsid w:val="00272E92"/>
    <w:rsid w:val="00285F7F"/>
    <w:rsid w:val="003B13C8"/>
    <w:rsid w:val="0040504C"/>
    <w:rsid w:val="00424485"/>
    <w:rsid w:val="00440912"/>
    <w:rsid w:val="00477FFD"/>
    <w:rsid w:val="0062258E"/>
    <w:rsid w:val="00633089"/>
    <w:rsid w:val="006463A6"/>
    <w:rsid w:val="00661C3A"/>
    <w:rsid w:val="006C7C98"/>
    <w:rsid w:val="007703D0"/>
    <w:rsid w:val="00792655"/>
    <w:rsid w:val="008C4C7D"/>
    <w:rsid w:val="009726A8"/>
    <w:rsid w:val="009864DF"/>
    <w:rsid w:val="00AA1A86"/>
    <w:rsid w:val="00AF3F73"/>
    <w:rsid w:val="00B81917"/>
    <w:rsid w:val="00C4140C"/>
    <w:rsid w:val="00C611EB"/>
    <w:rsid w:val="00CD6BC5"/>
    <w:rsid w:val="00D04D37"/>
    <w:rsid w:val="00D154F2"/>
    <w:rsid w:val="00D226AA"/>
    <w:rsid w:val="00D73A54"/>
    <w:rsid w:val="00E73C92"/>
    <w:rsid w:val="00F57924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32DFC"/>
  <w15:chartTrackingRefBased/>
  <w15:docId w15:val="{ED077E84-F90E-4EFD-80FA-F71BB93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Normlnatabuka"/>
    <w:uiPriority w:val="99"/>
    <w:rsid w:val="008C4C7D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5B9BD5" w:themeColor="accent1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504C"/>
  </w:style>
  <w:style w:type="paragraph" w:styleId="Pta">
    <w:name w:val="footer"/>
    <w:basedOn w:val="Normlny"/>
    <w:link w:val="Pt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504C"/>
  </w:style>
  <w:style w:type="character" w:styleId="Hypertextovprepojenie">
    <w:name w:val="Hyperlink"/>
    <w:rsid w:val="0019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dinarok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Hupian</dc:creator>
  <cp:keywords/>
  <dc:description/>
  <cp:lastModifiedBy>Michaela Pšenáková</cp:lastModifiedBy>
  <cp:revision>6</cp:revision>
  <dcterms:created xsi:type="dcterms:W3CDTF">2021-03-29T13:30:00Z</dcterms:created>
  <dcterms:modified xsi:type="dcterms:W3CDTF">2021-03-30T12:45:00Z</dcterms:modified>
</cp:coreProperties>
</file>